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12A6638D"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F53586">
        <w:rPr>
          <w:rFonts w:ascii="Arial" w:hAnsi="Arial" w:cs="Arial"/>
          <w:sz w:val="24"/>
          <w:szCs w:val="28"/>
          <w:lang w:val="en-CA"/>
        </w:rPr>
        <w:t>2</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190</w:t>
      </w:r>
      <w:r w:rsidR="0043155C">
        <w:rPr>
          <w:rFonts w:ascii="Arial" w:hAnsi="Arial" w:cs="Arial"/>
          <w:sz w:val="24"/>
          <w:szCs w:val="28"/>
          <w:lang w:val="en-CA"/>
        </w:rPr>
        <w:t>9595</w:t>
      </w:r>
    </w:p>
    <w:p w14:paraId="4F58942D" w14:textId="4899BB5B" w:rsidR="00D80957" w:rsidRPr="00457F73" w:rsidRDefault="00F53586"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Ljubljana</w:t>
      </w:r>
      <w:r w:rsidR="00B14854">
        <w:rPr>
          <w:rFonts w:ascii="Arial" w:hAnsi="Arial" w:cs="Arial"/>
          <w:sz w:val="24"/>
          <w:szCs w:val="28"/>
          <w:lang w:val="en-CA"/>
        </w:rPr>
        <w:t>,</w:t>
      </w:r>
      <w:r w:rsidR="001B3484">
        <w:rPr>
          <w:rFonts w:ascii="Arial" w:hAnsi="Arial" w:cs="Arial"/>
          <w:sz w:val="24"/>
          <w:szCs w:val="28"/>
          <w:lang w:val="en-CA"/>
        </w:rPr>
        <w:t xml:space="preserve"> </w:t>
      </w:r>
      <w:r>
        <w:rPr>
          <w:rFonts w:ascii="Arial" w:hAnsi="Arial" w:cs="Arial"/>
          <w:sz w:val="24"/>
          <w:szCs w:val="28"/>
          <w:lang w:val="en-CA"/>
        </w:rPr>
        <w:t>Slovenia</w:t>
      </w:r>
      <w:r w:rsidR="00A2225E">
        <w:rPr>
          <w:rFonts w:ascii="Arial" w:hAnsi="Arial" w:cs="Arial"/>
          <w:sz w:val="24"/>
          <w:szCs w:val="28"/>
          <w:lang w:val="en-CA"/>
        </w:rPr>
        <w:t xml:space="preserve">, </w:t>
      </w:r>
      <w:r>
        <w:rPr>
          <w:rFonts w:ascii="Arial" w:hAnsi="Arial" w:cs="Arial"/>
          <w:sz w:val="24"/>
          <w:szCs w:val="28"/>
          <w:lang w:val="en-CA"/>
        </w:rPr>
        <w:t>August</w:t>
      </w:r>
      <w:r w:rsidR="0027720D">
        <w:rPr>
          <w:rFonts w:ascii="Arial" w:hAnsi="Arial" w:cs="Arial"/>
          <w:sz w:val="24"/>
          <w:szCs w:val="28"/>
          <w:lang w:val="en-CA"/>
        </w:rPr>
        <w:t xml:space="preserve"> </w:t>
      </w:r>
      <w:r>
        <w:rPr>
          <w:rFonts w:ascii="Arial" w:hAnsi="Arial" w:cs="Arial"/>
          <w:sz w:val="24"/>
          <w:szCs w:val="28"/>
          <w:lang w:val="en-CA"/>
        </w:rPr>
        <w:t>26</w:t>
      </w:r>
      <w:r w:rsidR="0027720D">
        <w:rPr>
          <w:rFonts w:ascii="Arial" w:hAnsi="Arial" w:cs="Arial"/>
          <w:sz w:val="24"/>
          <w:szCs w:val="28"/>
          <w:lang w:val="en-CA"/>
        </w:rPr>
        <w:t xml:space="preserve"> – </w:t>
      </w:r>
      <w:r>
        <w:rPr>
          <w:rFonts w:ascii="Arial" w:hAnsi="Arial" w:cs="Arial"/>
          <w:sz w:val="24"/>
          <w:szCs w:val="28"/>
          <w:lang w:val="en-CA"/>
        </w:rPr>
        <w:t>30</w:t>
      </w:r>
      <w:r w:rsidR="00347CC4">
        <w:rPr>
          <w:rFonts w:ascii="Arial" w:hAnsi="Arial" w:cs="Arial"/>
          <w:sz w:val="24"/>
          <w:szCs w:val="28"/>
          <w:lang w:val="en-CA"/>
        </w:rPr>
        <w:t>, 2019</w:t>
      </w:r>
    </w:p>
    <w:p w14:paraId="14395BAA" w14:textId="4268A632" w:rsidR="00D80957" w:rsidRPr="00355F64" w:rsidRDefault="00D80957" w:rsidP="0033186E">
      <w:pPr>
        <w:tabs>
          <w:tab w:val="left" w:pos="1985"/>
        </w:tabs>
        <w:spacing w:before="240" w:after="0"/>
        <w:jc w:val="both"/>
        <w:rPr>
          <w:rFonts w:ascii="Arial" w:hAnsi="Arial" w:cs="Arial"/>
          <w:bCs/>
          <w:sz w:val="22"/>
          <w:szCs w:val="22"/>
          <w:lang w:val="en-US"/>
        </w:rPr>
      </w:pPr>
      <w:r w:rsidRPr="00355F64">
        <w:rPr>
          <w:rFonts w:ascii="Arial" w:hAnsi="Arial" w:cs="Arial"/>
          <w:b/>
          <w:sz w:val="22"/>
          <w:szCs w:val="22"/>
          <w:lang w:val="en-US"/>
        </w:rPr>
        <w:t>Agenda Item:</w:t>
      </w:r>
      <w:r w:rsidRPr="00355F64">
        <w:rPr>
          <w:rFonts w:ascii="Arial" w:hAnsi="Arial" w:cs="Arial"/>
          <w:b/>
          <w:sz w:val="22"/>
          <w:szCs w:val="22"/>
          <w:lang w:val="en-US"/>
        </w:rPr>
        <w:tab/>
      </w:r>
      <w:r w:rsidR="00DC567B">
        <w:rPr>
          <w:rFonts w:ascii="Arial" w:hAnsi="Arial" w:cs="Arial"/>
          <w:sz w:val="22"/>
          <w:szCs w:val="22"/>
          <w:lang w:val="en-US"/>
        </w:rPr>
        <w:t>7</w:t>
      </w:r>
      <w:r w:rsidR="00F53586" w:rsidRPr="00355F64">
        <w:rPr>
          <w:rFonts w:ascii="Arial" w:hAnsi="Arial" w:cs="Arial"/>
          <w:sz w:val="22"/>
          <w:szCs w:val="22"/>
          <w:lang w:val="en-US"/>
        </w:rPr>
        <w:t>.</w:t>
      </w:r>
      <w:r w:rsidR="00DC567B">
        <w:rPr>
          <w:rFonts w:ascii="Arial" w:hAnsi="Arial" w:cs="Arial"/>
          <w:sz w:val="22"/>
          <w:szCs w:val="22"/>
          <w:lang w:val="en-US"/>
        </w:rPr>
        <w:t>10</w:t>
      </w:r>
      <w:r w:rsidR="00F53586" w:rsidRPr="00355F64">
        <w:rPr>
          <w:rFonts w:ascii="Arial" w:hAnsi="Arial" w:cs="Arial"/>
          <w:sz w:val="22"/>
          <w:szCs w:val="22"/>
          <w:lang w:val="en-US"/>
        </w:rPr>
        <w:t>.</w:t>
      </w:r>
      <w:r w:rsidR="00DC567B">
        <w:rPr>
          <w:rFonts w:ascii="Arial" w:hAnsi="Arial" w:cs="Arial"/>
          <w:sz w:val="22"/>
          <w:szCs w:val="22"/>
          <w:lang w:val="en-US"/>
        </w:rPr>
        <w:t>7.4</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35FD38E3"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 xml:space="preserve">On </w:t>
      </w:r>
      <w:r w:rsidR="00F53586">
        <w:rPr>
          <w:rFonts w:ascii="Arial" w:hAnsi="Arial" w:cs="Arial"/>
          <w:sz w:val="22"/>
          <w:szCs w:val="22"/>
          <w:lang w:val="en-CA"/>
        </w:rPr>
        <w:t xml:space="preserve">TCI state </w:t>
      </w:r>
      <w:r w:rsidR="00D34B1E">
        <w:rPr>
          <w:rFonts w:ascii="Arial" w:hAnsi="Arial" w:cs="Arial"/>
          <w:sz w:val="22"/>
          <w:szCs w:val="22"/>
          <w:lang w:val="en-CA"/>
        </w:rPr>
        <w:t>known condition</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10504FA9" w14:textId="772C2CCD" w:rsidR="00355F64" w:rsidRDefault="00355F64" w:rsidP="00F53586">
      <w:pPr>
        <w:jc w:val="both"/>
        <w:rPr>
          <w:rFonts w:asciiTheme="minorHAnsi" w:hAnsiTheme="minorHAnsi" w:cstheme="minorHAnsi"/>
          <w:sz w:val="22"/>
          <w:lang w:val="en-CA"/>
        </w:rPr>
      </w:pPr>
      <w:r>
        <w:rPr>
          <w:rFonts w:asciiTheme="minorHAnsi" w:hAnsiTheme="minorHAnsi" w:cstheme="minorHAnsi"/>
          <w:sz w:val="22"/>
          <w:lang w:val="en-CA"/>
        </w:rPr>
        <w:t>During RAN4#91, definitions of known and unknown cell for cells in FR2 were agreed e.g. for SCell activation delay and PSCell addition delay. Corresponding definition for Active TCI state switching delay is however still incomplete in that the requirement states “- TCI state switch is within [X] ms of last transmission of the resource for beam reporting/measurement for the target TCI state”.</w:t>
      </w:r>
    </w:p>
    <w:p w14:paraId="00E8F05A" w14:textId="22D6F5BA" w:rsidR="00D01C3B" w:rsidRDefault="00355F64" w:rsidP="00C8654F">
      <w:pPr>
        <w:jc w:val="both"/>
        <w:rPr>
          <w:rFonts w:asciiTheme="minorHAnsi" w:hAnsiTheme="minorHAnsi" w:cstheme="minorHAnsi"/>
          <w:sz w:val="22"/>
          <w:lang w:val="en-CA"/>
        </w:rPr>
      </w:pPr>
      <w:r>
        <w:rPr>
          <w:rFonts w:asciiTheme="minorHAnsi" w:hAnsiTheme="minorHAnsi" w:cstheme="minorHAnsi"/>
          <w:sz w:val="22"/>
          <w:lang w:val="en-CA"/>
        </w:rPr>
        <w:t>In this contribution we discuss a suitable value for X.</w:t>
      </w:r>
    </w:p>
    <w:p w14:paraId="4EBFB365" w14:textId="44F2DE85" w:rsidR="00F13684" w:rsidRDefault="00FF6031" w:rsidP="00BD18BC">
      <w:pPr>
        <w:pStyle w:val="Heading1"/>
        <w:ind w:left="431" w:hanging="431"/>
        <w:rPr>
          <w:szCs w:val="36"/>
          <w:lang w:val="en-CA"/>
        </w:rPr>
      </w:pPr>
      <w:r>
        <w:rPr>
          <w:szCs w:val="36"/>
          <w:lang w:val="en-CA"/>
        </w:rPr>
        <w:t>Discussion</w:t>
      </w:r>
    </w:p>
    <w:p w14:paraId="516E33A5" w14:textId="3FFA091A" w:rsidR="00355F64" w:rsidRDefault="00426366" w:rsidP="00F53586">
      <w:pPr>
        <w:rPr>
          <w:rFonts w:asciiTheme="minorHAnsi" w:hAnsiTheme="minorHAnsi" w:cstheme="minorHAnsi"/>
          <w:sz w:val="22"/>
          <w:lang w:val="en-CA"/>
        </w:rPr>
      </w:pPr>
      <w:r w:rsidRPr="00426366">
        <w:rPr>
          <w:rFonts w:asciiTheme="minorHAnsi" w:hAnsiTheme="minorHAnsi" w:cstheme="minorHAnsi"/>
          <w:sz w:val="22"/>
          <w:lang w:val="en-CA"/>
        </w:rPr>
        <w:t>The so far agreed</w:t>
      </w:r>
      <w:r>
        <w:rPr>
          <w:rFonts w:asciiTheme="minorHAnsi" w:hAnsiTheme="minorHAnsi" w:cstheme="minorHAnsi"/>
          <w:sz w:val="22"/>
          <w:lang w:val="en-CA"/>
        </w:rPr>
        <w:t xml:space="preserve"> details about when to declare a target TCI state known or unknown are captured in TS 38.133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_Ref15644284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[2]</w:t>
      </w:r>
      <w:r>
        <w:rPr>
          <w:rFonts w:asciiTheme="minorHAnsi" w:hAnsiTheme="minorHAnsi" w:cstheme="minorHAnsi"/>
          <w:sz w:val="22"/>
          <w:lang w:val="en-CA"/>
        </w:rPr>
        <w:fldChar w:fldCharType="end"/>
      </w:r>
      <w:r>
        <w:rPr>
          <w:rFonts w:asciiTheme="minorHAnsi" w:hAnsiTheme="minorHAnsi" w:cstheme="minorHAnsi"/>
          <w:sz w:val="22"/>
          <w:lang w:val="en-CA"/>
        </w:rPr>
        <w:t xml:space="preserve"> clause 8.10.2: </w:t>
      </w:r>
    </w:p>
    <w:p w14:paraId="3B3A300D" w14:textId="77777777" w:rsidR="00426366" w:rsidRPr="00426366" w:rsidRDefault="00426366" w:rsidP="00426366">
      <w:pPr>
        <w:keepNext/>
        <w:keepLines/>
        <w:spacing w:before="120"/>
        <w:ind w:left="284"/>
        <w:outlineLvl w:val="2"/>
        <w:rPr>
          <w:rFonts w:ascii="Arial" w:hAnsi="Arial"/>
          <w:sz w:val="28"/>
          <w:lang w:val="en-US"/>
        </w:rPr>
      </w:pPr>
      <w:r w:rsidRPr="00426366">
        <w:rPr>
          <w:rFonts w:ascii="Arial" w:hAnsi="Arial"/>
          <w:sz w:val="28"/>
          <w:lang w:val="en-US"/>
        </w:rPr>
        <w:t>8.10.2</w:t>
      </w:r>
      <w:r w:rsidRPr="00426366">
        <w:rPr>
          <w:rFonts w:ascii="Arial" w:hAnsi="Arial"/>
          <w:sz w:val="28"/>
          <w:lang w:val="en-US"/>
        </w:rPr>
        <w:tab/>
        <w:t>Known conditions for TCI state</w:t>
      </w:r>
    </w:p>
    <w:p w14:paraId="4252415B" w14:textId="77777777" w:rsidR="00426366" w:rsidRPr="00426366" w:rsidRDefault="00426366" w:rsidP="00426366">
      <w:pPr>
        <w:tabs>
          <w:tab w:val="left" w:pos="0"/>
        </w:tabs>
        <w:ind w:left="284"/>
        <w:rPr>
          <w:rFonts w:eastAsia="Malgun Gothic" w:cs="v4.2.0"/>
          <w:lang w:eastAsia="zh-CN"/>
        </w:rPr>
      </w:pPr>
      <w:r w:rsidRPr="00426366">
        <w:rPr>
          <w:rFonts w:eastAsia="Malgun Gothic" w:cs="v4.2.0"/>
          <w:lang w:val="en-US" w:eastAsia="zh-CN"/>
        </w:rPr>
        <w:t>T</w:t>
      </w:r>
      <w:r w:rsidRPr="00426366">
        <w:rPr>
          <w:rFonts w:eastAsia="Malgun Gothic" w:cs="v4.2.0"/>
          <w:lang w:eastAsia="zh-CN"/>
        </w:rPr>
        <w:t>he TCI state is known if it has been meeting the following conditions:</w:t>
      </w:r>
    </w:p>
    <w:p w14:paraId="68A229B5" w14:textId="77777777" w:rsidR="00426366" w:rsidRPr="00426366" w:rsidRDefault="00426366" w:rsidP="00426366">
      <w:pPr>
        <w:ind w:left="852" w:hanging="284"/>
        <w:rPr>
          <w:lang w:eastAsia="zh-CN"/>
        </w:rPr>
      </w:pPr>
      <w:r w:rsidRPr="00426366">
        <w:rPr>
          <w:lang w:eastAsia="zh-CN"/>
        </w:rPr>
        <w:t>-</w:t>
      </w:r>
      <w:r w:rsidRPr="00426366">
        <w:rPr>
          <w:lang w:eastAsia="zh-CN"/>
        </w:rPr>
        <w:tab/>
        <w:t>TCI state switch is within [X] ms of last transmission of the resource for beam reporting/ measurement for the target TCI state</w:t>
      </w:r>
    </w:p>
    <w:p w14:paraId="3026E2F1" w14:textId="77777777" w:rsidR="00426366" w:rsidRPr="00426366" w:rsidRDefault="00426366" w:rsidP="00426366">
      <w:pPr>
        <w:ind w:left="852" w:hanging="284"/>
        <w:rPr>
          <w:lang w:eastAsia="zh-CN"/>
        </w:rPr>
      </w:pPr>
      <w:r w:rsidRPr="00426366">
        <w:rPr>
          <w:lang w:eastAsia="zh-CN"/>
        </w:rPr>
        <w:t>-</w:t>
      </w:r>
      <w:r w:rsidRPr="00426366">
        <w:rPr>
          <w:lang w:eastAsia="zh-CN"/>
        </w:rPr>
        <w:tab/>
        <w:t>The UE has sent at least 1 measurement report for the target TCI state</w:t>
      </w:r>
    </w:p>
    <w:p w14:paraId="5EDCF763" w14:textId="77777777" w:rsidR="00426366" w:rsidRPr="00426366" w:rsidRDefault="00426366" w:rsidP="00426366">
      <w:pPr>
        <w:ind w:left="852" w:hanging="284"/>
        <w:rPr>
          <w:lang w:eastAsia="zh-CN"/>
        </w:rPr>
      </w:pPr>
      <w:r w:rsidRPr="00426366">
        <w:rPr>
          <w:lang w:eastAsia="zh-CN"/>
        </w:rPr>
        <w:t>-</w:t>
      </w:r>
      <w:r w:rsidRPr="00426366">
        <w:rPr>
          <w:lang w:eastAsia="zh-CN"/>
        </w:rPr>
        <w:tab/>
        <w:t>The TCI state shall remain detectable during the TCI state switching period</w:t>
      </w:r>
    </w:p>
    <w:p w14:paraId="5E0B87E0" w14:textId="77777777" w:rsidR="00426366" w:rsidRPr="00426366" w:rsidRDefault="00426366" w:rsidP="00426366">
      <w:pPr>
        <w:ind w:left="1135" w:hanging="284"/>
        <w:rPr>
          <w:lang w:eastAsia="zh-CN"/>
        </w:rPr>
      </w:pPr>
      <w:r w:rsidRPr="00426366">
        <w:rPr>
          <w:lang w:eastAsia="zh-CN"/>
        </w:rPr>
        <w:t>-</w:t>
      </w:r>
      <w:r w:rsidRPr="00426366">
        <w:rPr>
          <w:lang w:eastAsia="zh-CN"/>
        </w:rPr>
        <w:tab/>
        <w:t>SNR of the TCI state is &gt; -3dB</w:t>
      </w:r>
    </w:p>
    <w:p w14:paraId="7B688053" w14:textId="77777777" w:rsidR="00426366" w:rsidRPr="00426366" w:rsidRDefault="00426366" w:rsidP="00426366">
      <w:pPr>
        <w:ind w:left="284"/>
        <w:rPr>
          <w:rFonts w:eastAsia="Malgun Gothic"/>
          <w:lang w:eastAsia="zh-CN"/>
        </w:rPr>
      </w:pPr>
      <w:r w:rsidRPr="00426366">
        <w:rPr>
          <w:rFonts w:eastAsia="Malgun Gothic"/>
          <w:lang w:eastAsia="zh-CN"/>
        </w:rPr>
        <w:t>Otherwise, the TCI state is unknown.</w:t>
      </w:r>
    </w:p>
    <w:p w14:paraId="763BFEF6" w14:textId="66DCC934" w:rsidR="00426366" w:rsidRDefault="00426366" w:rsidP="00F53586">
      <w:pPr>
        <w:rPr>
          <w:rFonts w:asciiTheme="minorHAnsi" w:hAnsiTheme="minorHAnsi" w:cstheme="minorHAnsi"/>
          <w:sz w:val="22"/>
        </w:rPr>
      </w:pPr>
      <w:r>
        <w:rPr>
          <w:rFonts w:asciiTheme="minorHAnsi" w:hAnsiTheme="minorHAnsi" w:cstheme="minorHAnsi"/>
          <w:sz w:val="22"/>
        </w:rPr>
        <w:t xml:space="preserve">The open issue is the selection of X, i.e., how long time since last transmission of resources for beam reporting (SSBs or CSI-RS) the TCI state still is considered known, given that the other conditions on reporting and </w:t>
      </w:r>
      <w:r w:rsidR="00F001DC">
        <w:rPr>
          <w:rFonts w:asciiTheme="minorHAnsi" w:hAnsiTheme="minorHAnsi" w:cstheme="minorHAnsi"/>
          <w:sz w:val="22"/>
        </w:rPr>
        <w:t xml:space="preserve">SINR of signals associated with the TCI state </w:t>
      </w:r>
      <w:r>
        <w:rPr>
          <w:rFonts w:asciiTheme="minorHAnsi" w:hAnsiTheme="minorHAnsi" w:cstheme="minorHAnsi"/>
          <w:sz w:val="22"/>
        </w:rPr>
        <w:t>are fulfilled.</w:t>
      </w:r>
    </w:p>
    <w:p w14:paraId="563A9252" w14:textId="054AED3C" w:rsidR="00DF5FA9" w:rsidRPr="007142A5" w:rsidRDefault="00F001DC" w:rsidP="007142A5">
      <w:pPr>
        <w:rPr>
          <w:rFonts w:eastAsia="Malgun Gothic"/>
          <w:lang w:val="en-US" w:eastAsia="zh-CN"/>
        </w:rPr>
      </w:pPr>
      <w:r>
        <w:rPr>
          <w:rFonts w:asciiTheme="minorHAnsi" w:hAnsiTheme="minorHAnsi" w:cstheme="minorHAnsi"/>
          <w:sz w:val="22"/>
        </w:rPr>
        <w:t>For MAC-CE based and RRC-based TCI switching requirements for switching to known TCI state, a distinction is made on whether the target TCI state is in the active TCI state list or not</w:t>
      </w:r>
      <w:r w:rsidR="0048056F">
        <w:rPr>
          <w:rFonts w:asciiTheme="minorHAnsi" w:hAnsiTheme="minorHAnsi" w:cstheme="minorHAnsi"/>
          <w:sz w:val="22"/>
        </w:rPr>
        <w:t xml:space="preserve">, see </w:t>
      </w:r>
      <w:r w:rsidR="00ED3F43">
        <w:rPr>
          <w:rFonts w:asciiTheme="minorHAnsi" w:hAnsiTheme="minorHAnsi" w:cstheme="minorHAnsi"/>
          <w:sz w:val="22"/>
        </w:rPr>
        <w:t>TS 38.133 clauses</w:t>
      </w:r>
      <w:r w:rsidR="0048056F">
        <w:rPr>
          <w:rFonts w:asciiTheme="minorHAnsi" w:hAnsiTheme="minorHAnsi" w:cstheme="minorHAnsi"/>
          <w:sz w:val="22"/>
        </w:rPr>
        <w:t xml:space="preserve"> 8.10.3, 8.10.5</w:t>
      </w:r>
      <w:r>
        <w:rPr>
          <w:rFonts w:asciiTheme="minorHAnsi" w:hAnsiTheme="minorHAnsi" w:cstheme="minorHAnsi"/>
          <w:sz w:val="22"/>
        </w:rPr>
        <w:t>. If in the active TCI state list for PDSCH, the UE is assumed to be able to switch to the target TCI state without further synchronization to SSB. If not in the active TCI state list for PDSCH, the UE is given time to synchronize to one SSB before receiving using the new TCI state.</w:t>
      </w:r>
    </w:p>
    <w:p w14:paraId="41D91BC7" w14:textId="525B059C" w:rsidR="00F001DC" w:rsidRDefault="00F001DC" w:rsidP="00F53586">
      <w:pPr>
        <w:rPr>
          <w:rFonts w:asciiTheme="minorHAnsi" w:hAnsiTheme="minorHAnsi" w:cstheme="minorHAnsi"/>
          <w:sz w:val="22"/>
        </w:rPr>
      </w:pPr>
      <w:r>
        <w:rPr>
          <w:rFonts w:asciiTheme="minorHAnsi" w:hAnsiTheme="minorHAnsi" w:cstheme="minorHAnsi"/>
          <w:sz w:val="22"/>
        </w:rPr>
        <w:t>For DCI-based TCI switching, it is a prerequisite that the target TCI state is in the active list for PDSCH. Hence the UE is assumed to be able to switch to the target TCI state without further synchronization to SSB.</w:t>
      </w:r>
    </w:p>
    <w:p w14:paraId="08F30FB6" w14:textId="6CEF5FC1" w:rsidR="00F001DC" w:rsidRDefault="00F001DC" w:rsidP="00F53586">
      <w:pPr>
        <w:rPr>
          <w:rFonts w:asciiTheme="minorHAnsi" w:hAnsiTheme="minorHAnsi" w:cstheme="minorHAnsi"/>
          <w:sz w:val="22"/>
        </w:rPr>
      </w:pPr>
      <w:r w:rsidRPr="00B628EA">
        <w:rPr>
          <w:rFonts w:asciiTheme="minorHAnsi" w:hAnsiTheme="minorHAnsi" w:cstheme="minorHAnsi"/>
          <w:b/>
          <w:color w:val="1F497D" w:themeColor="text2"/>
          <w:sz w:val="22"/>
        </w:rPr>
        <w:t>Observation</w:t>
      </w:r>
      <w:r w:rsidR="00D669ED" w:rsidRPr="00B628EA">
        <w:rPr>
          <w:rFonts w:asciiTheme="minorHAnsi" w:hAnsiTheme="minorHAnsi" w:cstheme="minorHAnsi"/>
          <w:b/>
          <w:color w:val="1F497D" w:themeColor="text2"/>
          <w:sz w:val="22"/>
        </w:rPr>
        <w:t xml:space="preserve"> 1: </w:t>
      </w:r>
      <w:r w:rsidR="00D669ED" w:rsidRPr="00B628EA">
        <w:rPr>
          <w:rFonts w:asciiTheme="minorHAnsi" w:hAnsiTheme="minorHAnsi" w:cstheme="minorHAnsi"/>
          <w:color w:val="1F497D" w:themeColor="text2"/>
          <w:sz w:val="22"/>
        </w:rPr>
        <w:t xml:space="preserve">For activation of a known target TCI that is part of the active TCI list for PDSCH, no additional time for synchronization to SSB </w:t>
      </w:r>
      <w:r w:rsidR="00B628EA" w:rsidRPr="00B628EA">
        <w:rPr>
          <w:rFonts w:asciiTheme="minorHAnsi" w:hAnsiTheme="minorHAnsi" w:cstheme="minorHAnsi"/>
          <w:color w:val="1F497D" w:themeColor="text2"/>
          <w:sz w:val="22"/>
        </w:rPr>
        <w:t>is allowed. The UE is assumed to have up-to-date information on timing, gain</w:t>
      </w:r>
      <w:r w:rsidR="00B628EA">
        <w:rPr>
          <w:rFonts w:asciiTheme="minorHAnsi" w:hAnsiTheme="minorHAnsi" w:cstheme="minorHAnsi"/>
          <w:color w:val="1F497D" w:themeColor="text2"/>
          <w:sz w:val="22"/>
        </w:rPr>
        <w:t xml:space="preserve"> setting</w:t>
      </w:r>
      <w:r w:rsidR="00B628EA" w:rsidRPr="00B628EA">
        <w:rPr>
          <w:rFonts w:asciiTheme="minorHAnsi" w:hAnsiTheme="minorHAnsi" w:cstheme="minorHAnsi"/>
          <w:color w:val="1F497D" w:themeColor="text2"/>
          <w:sz w:val="22"/>
        </w:rPr>
        <w:t>, et cetera for immediate activation after</w:t>
      </w:r>
      <w:r w:rsidR="00B628EA">
        <w:rPr>
          <w:rFonts w:asciiTheme="minorHAnsi" w:hAnsiTheme="minorHAnsi" w:cstheme="minorHAnsi"/>
          <w:color w:val="1F497D" w:themeColor="text2"/>
          <w:sz w:val="22"/>
        </w:rPr>
        <w:t xml:space="preserve"> receiving the activation command and after associated processing of the command.</w:t>
      </w:r>
      <w:r w:rsidR="00B628EA">
        <w:rPr>
          <w:rFonts w:asciiTheme="minorHAnsi" w:hAnsiTheme="minorHAnsi" w:cstheme="minorHAnsi"/>
          <w:sz w:val="22"/>
        </w:rPr>
        <w:t xml:space="preserve">  </w:t>
      </w:r>
    </w:p>
    <w:p w14:paraId="430BB525" w14:textId="1B6DB1BD" w:rsidR="00B628EA" w:rsidRPr="00B628EA" w:rsidRDefault="00B628EA" w:rsidP="00F53586">
      <w:pPr>
        <w:rPr>
          <w:rFonts w:asciiTheme="minorHAnsi" w:hAnsiTheme="minorHAnsi" w:cstheme="minorHAnsi"/>
          <w:color w:val="1F497D" w:themeColor="text2"/>
          <w:sz w:val="22"/>
        </w:rPr>
      </w:pPr>
      <w:r w:rsidRPr="00B628EA">
        <w:rPr>
          <w:rFonts w:asciiTheme="minorHAnsi" w:hAnsiTheme="minorHAnsi" w:cstheme="minorHAnsi"/>
          <w:b/>
          <w:color w:val="1F497D" w:themeColor="text2"/>
          <w:sz w:val="22"/>
        </w:rPr>
        <w:lastRenderedPageBreak/>
        <w:t>Observation 2:</w:t>
      </w:r>
      <w:r w:rsidRPr="00B628EA">
        <w:rPr>
          <w:rFonts w:asciiTheme="minorHAnsi" w:hAnsiTheme="minorHAnsi" w:cstheme="minorHAnsi"/>
          <w:color w:val="1F497D" w:themeColor="text2"/>
          <w:sz w:val="22"/>
        </w:rPr>
        <w:t xml:space="preserve"> For activation of a known target TCI that is </w:t>
      </w:r>
      <w:r w:rsidRPr="00B628EA">
        <w:rPr>
          <w:rFonts w:asciiTheme="minorHAnsi" w:hAnsiTheme="minorHAnsi" w:cstheme="minorHAnsi"/>
          <w:i/>
          <w:color w:val="1F497D" w:themeColor="text2"/>
          <w:sz w:val="22"/>
        </w:rPr>
        <w:t>not</w:t>
      </w:r>
      <w:r w:rsidRPr="00B628EA">
        <w:rPr>
          <w:rFonts w:asciiTheme="minorHAnsi" w:hAnsiTheme="minorHAnsi" w:cstheme="minorHAnsi"/>
          <w:color w:val="1F497D" w:themeColor="text2"/>
          <w:sz w:val="22"/>
        </w:rPr>
        <w:t xml:space="preserve"> part of the active TCI state list for PDSCH, the requirements allow additional time for synchronization to SSB in order for the UE to </w:t>
      </w:r>
      <w:r w:rsidR="00AA714B">
        <w:rPr>
          <w:rFonts w:asciiTheme="minorHAnsi" w:hAnsiTheme="minorHAnsi" w:cstheme="minorHAnsi"/>
          <w:color w:val="1F497D" w:themeColor="text2"/>
          <w:sz w:val="22"/>
        </w:rPr>
        <w:t>update its control loops</w:t>
      </w:r>
      <w:r w:rsidR="00AA714B" w:rsidRPr="00B628EA">
        <w:rPr>
          <w:rFonts w:asciiTheme="minorHAnsi" w:hAnsiTheme="minorHAnsi" w:cstheme="minorHAnsi"/>
          <w:color w:val="1F497D" w:themeColor="text2"/>
          <w:sz w:val="22"/>
        </w:rPr>
        <w:t>.</w:t>
      </w:r>
      <w:r w:rsidRPr="00B628EA">
        <w:rPr>
          <w:rFonts w:asciiTheme="minorHAnsi" w:hAnsiTheme="minorHAnsi" w:cstheme="minorHAnsi"/>
          <w:color w:val="1F497D" w:themeColor="text2"/>
          <w:sz w:val="22"/>
        </w:rPr>
        <w:t xml:space="preserve"> </w:t>
      </w:r>
    </w:p>
    <w:p w14:paraId="5401F94F" w14:textId="4E6C2EA0" w:rsidR="00F001DC" w:rsidRDefault="00E258DF" w:rsidP="00F53586">
      <w:pPr>
        <w:rPr>
          <w:rFonts w:asciiTheme="minorHAnsi" w:hAnsiTheme="minorHAnsi" w:cstheme="minorHAnsi"/>
          <w:sz w:val="22"/>
        </w:rPr>
      </w:pPr>
      <w:r>
        <w:rPr>
          <w:rFonts w:asciiTheme="minorHAnsi" w:hAnsiTheme="minorHAnsi" w:cstheme="minorHAnsi"/>
          <w:sz w:val="22"/>
        </w:rPr>
        <w:t>The observations suggest that the time a TCI state is to be considered known shall depend on whether the target TCI state is part of the active TCI state list for PDSCH.</w:t>
      </w:r>
    </w:p>
    <w:p w14:paraId="274586BE" w14:textId="6B53C978" w:rsidR="00E258DF" w:rsidRPr="00E258DF" w:rsidRDefault="00E258DF" w:rsidP="00F53586">
      <w:pPr>
        <w:rPr>
          <w:rFonts w:asciiTheme="minorHAnsi" w:hAnsiTheme="minorHAnsi" w:cstheme="minorHAnsi"/>
          <w:color w:val="1F497D" w:themeColor="text2"/>
          <w:sz w:val="22"/>
        </w:rPr>
      </w:pPr>
      <w:r w:rsidRPr="00E258DF">
        <w:rPr>
          <w:rFonts w:asciiTheme="minorHAnsi" w:hAnsiTheme="minorHAnsi" w:cstheme="minorHAnsi"/>
          <w:b/>
          <w:color w:val="1F497D" w:themeColor="text2"/>
          <w:sz w:val="22"/>
        </w:rPr>
        <w:t>Proposal 1:</w:t>
      </w:r>
      <w:r w:rsidRPr="00E258DF">
        <w:rPr>
          <w:rFonts w:asciiTheme="minorHAnsi" w:hAnsiTheme="minorHAnsi" w:cstheme="minorHAnsi"/>
          <w:color w:val="1F497D" w:themeColor="text2"/>
          <w:sz w:val="22"/>
        </w:rPr>
        <w:t xml:space="preserve"> The time since last transmission of resources for beam reporting/measurements by which a target TCI state is considered known shall depend on whether or not the TCI state is in the active TCI state list for PDSCH.</w:t>
      </w:r>
    </w:p>
    <w:p w14:paraId="0DEE5A1A" w14:textId="392A80FE" w:rsidR="00E258DF" w:rsidRDefault="00963618" w:rsidP="00F53586">
      <w:pPr>
        <w:rPr>
          <w:rFonts w:asciiTheme="minorHAnsi" w:hAnsiTheme="minorHAnsi" w:cstheme="minorHAnsi"/>
          <w:sz w:val="22"/>
        </w:rPr>
      </w:pPr>
      <w:r>
        <w:rPr>
          <w:rFonts w:asciiTheme="minorHAnsi" w:hAnsiTheme="minorHAnsi" w:cstheme="minorHAnsi"/>
          <w:sz w:val="22"/>
        </w:rPr>
        <w:t>For TCI state in the active TCI state list it is reasonable that the network node provides necessary resources more frequently than for TCI states that are not in this list. Here the concern should b</w:t>
      </w:r>
      <w:r w:rsidR="000D75B1">
        <w:rPr>
          <w:rFonts w:asciiTheme="minorHAnsi" w:hAnsiTheme="minorHAnsi" w:cstheme="minorHAnsi"/>
          <w:sz w:val="22"/>
        </w:rPr>
        <w:t>e on</w:t>
      </w:r>
      <w:r>
        <w:rPr>
          <w:rFonts w:asciiTheme="minorHAnsi" w:hAnsiTheme="minorHAnsi" w:cstheme="minorHAnsi"/>
          <w:sz w:val="22"/>
        </w:rPr>
        <w:t xml:space="preserve"> provid</w:t>
      </w:r>
      <w:r w:rsidR="000D75B1">
        <w:rPr>
          <w:rFonts w:asciiTheme="minorHAnsi" w:hAnsiTheme="minorHAnsi" w:cstheme="minorHAnsi"/>
          <w:sz w:val="22"/>
        </w:rPr>
        <w:t>ing</w:t>
      </w:r>
      <w:r>
        <w:rPr>
          <w:rFonts w:asciiTheme="minorHAnsi" w:hAnsiTheme="minorHAnsi" w:cstheme="minorHAnsi"/>
          <w:sz w:val="22"/>
        </w:rPr>
        <w:t xml:space="preserve"> the UE the means for immediate activation rather than concern on resource utilization</w:t>
      </w:r>
      <w:r w:rsidR="000D75B1">
        <w:rPr>
          <w:rFonts w:asciiTheme="minorHAnsi" w:hAnsiTheme="minorHAnsi" w:cstheme="minorHAnsi"/>
          <w:sz w:val="22"/>
        </w:rPr>
        <w:t xml:space="preserve"> in the cell</w:t>
      </w:r>
      <w:r>
        <w:rPr>
          <w:rFonts w:asciiTheme="minorHAnsi" w:hAnsiTheme="minorHAnsi" w:cstheme="minorHAnsi"/>
          <w:sz w:val="22"/>
        </w:rPr>
        <w:t>. Based on previous discussions regarding gain states and timing, a tentative value would be X = 160ms in case the TCI state is in the active TCI state list for PDSCH.</w:t>
      </w:r>
    </w:p>
    <w:p w14:paraId="5D8AC3C9" w14:textId="54D908BA" w:rsidR="00963618" w:rsidRDefault="00344F1A" w:rsidP="00F53586">
      <w:pPr>
        <w:rPr>
          <w:rFonts w:asciiTheme="minorHAnsi" w:hAnsiTheme="minorHAnsi" w:cstheme="minorHAnsi"/>
          <w:sz w:val="22"/>
        </w:rPr>
      </w:pPr>
      <w:r>
        <w:rPr>
          <w:rFonts w:asciiTheme="minorHAnsi" w:hAnsiTheme="minorHAnsi" w:cstheme="minorHAnsi"/>
          <w:sz w:val="22"/>
        </w:rPr>
        <w:t xml:space="preserve">For TCI states that are not in the active TCI state list for PDSCH, one may </w:t>
      </w:r>
      <w:r w:rsidR="007142A5">
        <w:rPr>
          <w:rFonts w:asciiTheme="minorHAnsi" w:hAnsiTheme="minorHAnsi" w:cstheme="minorHAnsi"/>
          <w:sz w:val="22"/>
        </w:rPr>
        <w:t xml:space="preserve">instead </w:t>
      </w:r>
      <w:r>
        <w:rPr>
          <w:rFonts w:asciiTheme="minorHAnsi" w:hAnsiTheme="minorHAnsi" w:cstheme="minorHAnsi"/>
          <w:sz w:val="22"/>
        </w:rPr>
        <w:t xml:space="preserve">consider the known SCell condition for FR2 that was agreed at RAN4#91 and captured in </w:t>
      </w:r>
      <w:r>
        <w:rPr>
          <w:rFonts w:asciiTheme="minorHAnsi" w:hAnsiTheme="minorHAnsi" w:cstheme="minorHAnsi"/>
          <w:sz w:val="22"/>
        </w:rPr>
        <w:fldChar w:fldCharType="begin"/>
      </w:r>
      <w:r>
        <w:rPr>
          <w:rFonts w:asciiTheme="minorHAnsi" w:hAnsiTheme="minorHAnsi" w:cstheme="minorHAnsi"/>
          <w:sz w:val="22"/>
        </w:rPr>
        <w:instrText xml:space="preserve"> REF _Ref15644284 \r \h </w:instrText>
      </w:r>
      <w:r>
        <w:rPr>
          <w:rFonts w:asciiTheme="minorHAnsi" w:hAnsiTheme="minorHAnsi" w:cstheme="minorHAnsi"/>
          <w:sz w:val="22"/>
        </w:rPr>
      </w:r>
      <w:r>
        <w:rPr>
          <w:rFonts w:asciiTheme="minorHAnsi" w:hAnsiTheme="minorHAnsi" w:cstheme="minorHAnsi"/>
          <w:sz w:val="22"/>
        </w:rPr>
        <w:fldChar w:fldCharType="separate"/>
      </w:r>
      <w:r>
        <w:rPr>
          <w:rFonts w:asciiTheme="minorHAnsi" w:hAnsiTheme="minorHAnsi" w:cstheme="minorHAnsi"/>
          <w:sz w:val="22"/>
        </w:rPr>
        <w:t>[2]</w:t>
      </w:r>
      <w:r>
        <w:rPr>
          <w:rFonts w:asciiTheme="minorHAnsi" w:hAnsiTheme="minorHAnsi" w:cstheme="minorHAnsi"/>
          <w:sz w:val="22"/>
        </w:rPr>
        <w:fldChar w:fldCharType="end"/>
      </w:r>
      <w:r>
        <w:rPr>
          <w:rFonts w:asciiTheme="minorHAnsi" w:hAnsiTheme="minorHAnsi" w:cstheme="minorHAnsi"/>
          <w:sz w:val="22"/>
        </w:rPr>
        <w:t xml:space="preserve"> clause 8.3.2. When an SCell in FR2 is known, the activation still allows one SSB for </w:t>
      </w:r>
      <w:r w:rsidR="00AA714B">
        <w:rPr>
          <w:rFonts w:asciiTheme="minorHAnsi" w:hAnsiTheme="minorHAnsi" w:cstheme="minorHAnsi"/>
          <w:sz w:val="22"/>
        </w:rPr>
        <w:t>updating control loops (A</w:t>
      </w:r>
      <w:r w:rsidR="0029542B">
        <w:rPr>
          <w:rFonts w:asciiTheme="minorHAnsi" w:hAnsiTheme="minorHAnsi" w:cstheme="minorHAnsi"/>
          <w:sz w:val="22"/>
        </w:rPr>
        <w:t>T</w:t>
      </w:r>
      <w:r w:rsidR="00AA714B">
        <w:rPr>
          <w:rFonts w:asciiTheme="minorHAnsi" w:hAnsiTheme="minorHAnsi" w:cstheme="minorHAnsi"/>
          <w:sz w:val="22"/>
        </w:rPr>
        <w:t>C/AFC/A</w:t>
      </w:r>
      <w:r w:rsidR="0029542B">
        <w:rPr>
          <w:rFonts w:asciiTheme="minorHAnsi" w:hAnsiTheme="minorHAnsi" w:cstheme="minorHAnsi"/>
          <w:sz w:val="22"/>
        </w:rPr>
        <w:t>G</w:t>
      </w:r>
      <w:r w:rsidR="00AA714B">
        <w:rPr>
          <w:rFonts w:asciiTheme="minorHAnsi" w:hAnsiTheme="minorHAnsi" w:cstheme="minorHAnsi"/>
          <w:sz w:val="22"/>
        </w:rPr>
        <w:t>C)</w:t>
      </w:r>
      <w:r>
        <w:rPr>
          <w:rFonts w:asciiTheme="minorHAnsi" w:hAnsiTheme="minorHAnsi" w:cstheme="minorHAnsi"/>
          <w:sz w:val="22"/>
        </w:rPr>
        <w:t>, but other information regarding the TCI state is assumed to be known to the UE.</w:t>
      </w:r>
    </w:p>
    <w:p w14:paraId="41BF58F6" w14:textId="50AC7471" w:rsidR="00344F1A" w:rsidRPr="00BE78B0" w:rsidRDefault="00344F1A" w:rsidP="00344F1A">
      <w:pPr>
        <w:pStyle w:val="B1"/>
      </w:pPr>
      <w:r w:rsidRPr="00BE78B0">
        <w:t>-</w:t>
      </w:r>
      <w:r w:rsidRPr="00BE78B0">
        <w:tab/>
        <w:t>During the period equal to [</w:t>
      </w:r>
      <w:r w:rsidRPr="00BE78B0">
        <w:rPr>
          <w:lang w:eastAsia="zh-CN"/>
        </w:rPr>
        <w:t>4s</w:t>
      </w:r>
      <w:r w:rsidRPr="00BE78B0">
        <w:t>]</w:t>
      </w:r>
      <w:r w:rsidRPr="00BE78B0">
        <w:rPr>
          <w:lang w:eastAsia="zh-CN"/>
        </w:rPr>
        <w:t xml:space="preserve"> for UE supporting power class1 and [3s] for UE supporting power class 2/3/4 before UE receives MAC-CE command for TCI activation</w:t>
      </w:r>
      <w:r w:rsidRPr="00BE78B0">
        <w:t>:</w:t>
      </w:r>
      <w:r w:rsidR="00DF5FA9">
        <w:t xml:space="preserve"> […]</w:t>
      </w:r>
    </w:p>
    <w:p w14:paraId="19B02EF6" w14:textId="1DBBEDD0" w:rsidR="00DF5FA9" w:rsidRDefault="00DF5FA9" w:rsidP="00F53586">
      <w:pPr>
        <w:rPr>
          <w:rFonts w:asciiTheme="minorHAnsi" w:hAnsiTheme="minorHAnsi" w:cstheme="minorHAnsi"/>
          <w:sz w:val="22"/>
        </w:rPr>
      </w:pPr>
      <w:r>
        <w:rPr>
          <w:rFonts w:asciiTheme="minorHAnsi" w:hAnsiTheme="minorHAnsi" w:cstheme="minorHAnsi"/>
          <w:sz w:val="22"/>
        </w:rPr>
        <w:t>Hence we propose that TCI states not part of the active TCI state list for PDSCH are considered to be known if resources for beam reporting/measurements have been provided within X=[4s] for UEs supporting power class 1, and X=[3s] for UEs supporting power class 2/3/4. The justification is that when not included in the active TCI state list for PDSCH, additional time for synchronization using one SSB is included in the TCI switching delay time.</w:t>
      </w:r>
    </w:p>
    <w:p w14:paraId="3E90D3A0" w14:textId="07E7B7B7" w:rsidR="007142A5" w:rsidRPr="007142A5" w:rsidRDefault="00DF5FA9" w:rsidP="007142A5">
      <w:pPr>
        <w:ind w:left="993" w:hanging="993"/>
        <w:rPr>
          <w:rFonts w:asciiTheme="minorHAnsi" w:hAnsiTheme="minorHAnsi" w:cstheme="minorHAnsi"/>
          <w:color w:val="1F497D" w:themeColor="text2"/>
          <w:sz w:val="22"/>
        </w:rPr>
      </w:pPr>
      <w:r w:rsidRPr="00DF5FA9">
        <w:rPr>
          <w:rFonts w:asciiTheme="minorHAnsi" w:hAnsiTheme="minorHAnsi" w:cstheme="minorHAnsi"/>
          <w:b/>
          <w:color w:val="1F497D" w:themeColor="text2"/>
          <w:sz w:val="22"/>
        </w:rPr>
        <w:t>Proposal 2:</w:t>
      </w:r>
      <w:r>
        <w:rPr>
          <w:rFonts w:asciiTheme="minorHAnsi" w:hAnsiTheme="minorHAnsi" w:cstheme="minorHAnsi"/>
          <w:color w:val="1F497D" w:themeColor="text2"/>
          <w:sz w:val="22"/>
        </w:rPr>
        <w:t xml:space="preserve"> Value of X is chosen as follows: </w:t>
      </w:r>
      <w:r>
        <w:rPr>
          <w:rFonts w:asciiTheme="minorHAnsi" w:hAnsiTheme="minorHAnsi" w:cstheme="minorHAnsi"/>
          <w:color w:val="1F497D" w:themeColor="text2"/>
          <w:sz w:val="22"/>
        </w:rPr>
        <w:br/>
        <w:t>- For a TCI state in the active TCI state list for PDSCH: X=[160]ms</w:t>
      </w:r>
      <w:r>
        <w:rPr>
          <w:rFonts w:asciiTheme="minorHAnsi" w:hAnsiTheme="minorHAnsi" w:cstheme="minorHAnsi"/>
          <w:color w:val="1F497D" w:themeColor="text2"/>
          <w:sz w:val="22"/>
        </w:rPr>
        <w:br/>
        <w:t xml:space="preserve">- For a TCI state not in the active TCI state list for PDSCH, X=[4]s for power class 1, and X=[3]s for power class 2/3/4. </w:t>
      </w:r>
    </w:p>
    <w:p w14:paraId="62534DB2" w14:textId="587DF059" w:rsidR="00D865DC" w:rsidRDefault="00D865DC" w:rsidP="00D865DC">
      <w:pPr>
        <w:pStyle w:val="Heading1"/>
        <w:ind w:left="431" w:hanging="431"/>
        <w:rPr>
          <w:szCs w:val="36"/>
          <w:lang w:val="en-CA"/>
        </w:rPr>
      </w:pPr>
      <w:r>
        <w:rPr>
          <w:szCs w:val="36"/>
          <w:lang w:val="en-CA"/>
        </w:rPr>
        <w:t>Summary and Conclusion</w:t>
      </w:r>
    </w:p>
    <w:p w14:paraId="37E67DD4" w14:textId="0CA019DA" w:rsidR="00260F7C" w:rsidRDefault="00301AEB" w:rsidP="00F53586">
      <w:pPr>
        <w:rPr>
          <w:rFonts w:asciiTheme="minorHAnsi" w:hAnsiTheme="minorHAnsi" w:cstheme="minorHAnsi"/>
          <w:sz w:val="22"/>
          <w:lang w:val="en-CA"/>
        </w:rPr>
      </w:pPr>
      <w:r>
        <w:rPr>
          <w:rFonts w:asciiTheme="minorHAnsi" w:hAnsiTheme="minorHAnsi" w:cstheme="minorHAnsi"/>
          <w:sz w:val="22"/>
          <w:lang w:val="en-CA"/>
        </w:rPr>
        <w:t xml:space="preserve">In this contribution we </w:t>
      </w:r>
      <w:r w:rsidR="00AA714B">
        <w:rPr>
          <w:rFonts w:asciiTheme="minorHAnsi" w:hAnsiTheme="minorHAnsi" w:cstheme="minorHAnsi"/>
          <w:sz w:val="22"/>
          <w:lang w:val="en-CA"/>
        </w:rPr>
        <w:t>have looked into conditions for known TCI state. The following observations have been made:</w:t>
      </w:r>
    </w:p>
    <w:p w14:paraId="58BF46B7" w14:textId="77777777" w:rsidR="007142A5" w:rsidRDefault="007142A5" w:rsidP="007142A5">
      <w:pPr>
        <w:rPr>
          <w:rFonts w:asciiTheme="minorHAnsi" w:hAnsiTheme="minorHAnsi" w:cstheme="minorHAnsi"/>
          <w:sz w:val="22"/>
        </w:rPr>
      </w:pPr>
      <w:r w:rsidRPr="00B628EA">
        <w:rPr>
          <w:rFonts w:asciiTheme="minorHAnsi" w:hAnsiTheme="minorHAnsi" w:cstheme="minorHAnsi"/>
          <w:b/>
          <w:color w:val="1F497D" w:themeColor="text2"/>
          <w:sz w:val="22"/>
        </w:rPr>
        <w:t xml:space="preserve">Observation 1: </w:t>
      </w:r>
      <w:r w:rsidRPr="00B628EA">
        <w:rPr>
          <w:rFonts w:asciiTheme="minorHAnsi" w:hAnsiTheme="minorHAnsi" w:cstheme="minorHAnsi"/>
          <w:color w:val="1F497D" w:themeColor="text2"/>
          <w:sz w:val="22"/>
        </w:rPr>
        <w:t>For activation of a known target TCI that is part of the active TCI list for PDSCH, no additional time for synchronization to SSB is allowed. The UE is assumed to have up-to-date information on timing, gain</w:t>
      </w:r>
      <w:r>
        <w:rPr>
          <w:rFonts w:asciiTheme="minorHAnsi" w:hAnsiTheme="minorHAnsi" w:cstheme="minorHAnsi"/>
          <w:color w:val="1F497D" w:themeColor="text2"/>
          <w:sz w:val="22"/>
        </w:rPr>
        <w:t xml:space="preserve"> setting</w:t>
      </w:r>
      <w:r w:rsidRPr="00B628EA">
        <w:rPr>
          <w:rFonts w:asciiTheme="minorHAnsi" w:hAnsiTheme="minorHAnsi" w:cstheme="minorHAnsi"/>
          <w:color w:val="1F497D" w:themeColor="text2"/>
          <w:sz w:val="22"/>
        </w:rPr>
        <w:t>, et cetera for immediate activation after</w:t>
      </w:r>
      <w:r>
        <w:rPr>
          <w:rFonts w:asciiTheme="minorHAnsi" w:hAnsiTheme="minorHAnsi" w:cstheme="minorHAnsi"/>
          <w:color w:val="1F497D" w:themeColor="text2"/>
          <w:sz w:val="22"/>
        </w:rPr>
        <w:t xml:space="preserve"> receiving the activation command and after associated processing of the command.</w:t>
      </w:r>
      <w:r>
        <w:rPr>
          <w:rFonts w:asciiTheme="minorHAnsi" w:hAnsiTheme="minorHAnsi" w:cstheme="minorHAnsi"/>
          <w:sz w:val="22"/>
        </w:rPr>
        <w:t xml:space="preserve">  </w:t>
      </w:r>
    </w:p>
    <w:p w14:paraId="3C51A739" w14:textId="0793F848" w:rsidR="007142A5" w:rsidRDefault="007142A5" w:rsidP="00F53586">
      <w:pPr>
        <w:rPr>
          <w:rFonts w:asciiTheme="minorHAnsi" w:hAnsiTheme="minorHAnsi" w:cstheme="minorHAnsi"/>
          <w:color w:val="1F497D" w:themeColor="text2"/>
          <w:sz w:val="22"/>
        </w:rPr>
      </w:pPr>
      <w:r w:rsidRPr="00B628EA">
        <w:rPr>
          <w:rFonts w:asciiTheme="minorHAnsi" w:hAnsiTheme="minorHAnsi" w:cstheme="minorHAnsi"/>
          <w:b/>
          <w:color w:val="1F497D" w:themeColor="text2"/>
          <w:sz w:val="22"/>
        </w:rPr>
        <w:t>Observation 2:</w:t>
      </w:r>
      <w:r w:rsidRPr="00B628EA">
        <w:rPr>
          <w:rFonts w:asciiTheme="minorHAnsi" w:hAnsiTheme="minorHAnsi" w:cstheme="minorHAnsi"/>
          <w:color w:val="1F497D" w:themeColor="text2"/>
          <w:sz w:val="22"/>
        </w:rPr>
        <w:t xml:space="preserve"> For activation of a known target TCI that is </w:t>
      </w:r>
      <w:r w:rsidRPr="00B628EA">
        <w:rPr>
          <w:rFonts w:asciiTheme="minorHAnsi" w:hAnsiTheme="minorHAnsi" w:cstheme="minorHAnsi"/>
          <w:i/>
          <w:color w:val="1F497D" w:themeColor="text2"/>
          <w:sz w:val="22"/>
        </w:rPr>
        <w:t>not</w:t>
      </w:r>
      <w:r w:rsidRPr="00B628EA">
        <w:rPr>
          <w:rFonts w:asciiTheme="minorHAnsi" w:hAnsiTheme="minorHAnsi" w:cstheme="minorHAnsi"/>
          <w:color w:val="1F497D" w:themeColor="text2"/>
          <w:sz w:val="22"/>
        </w:rPr>
        <w:t xml:space="preserve"> part of the active TCI state list for PDSCH, the requirements allow additional time for synchronization to SSB in order for the UE to </w:t>
      </w:r>
      <w:r w:rsidR="00AA714B">
        <w:rPr>
          <w:rFonts w:asciiTheme="minorHAnsi" w:hAnsiTheme="minorHAnsi" w:cstheme="minorHAnsi"/>
          <w:color w:val="1F497D" w:themeColor="text2"/>
          <w:sz w:val="22"/>
        </w:rPr>
        <w:t>update its control loops</w:t>
      </w:r>
      <w:r w:rsidRPr="00B628EA">
        <w:rPr>
          <w:rFonts w:asciiTheme="minorHAnsi" w:hAnsiTheme="minorHAnsi" w:cstheme="minorHAnsi"/>
          <w:color w:val="1F497D" w:themeColor="text2"/>
          <w:sz w:val="22"/>
        </w:rPr>
        <w:t>.</w:t>
      </w:r>
    </w:p>
    <w:p w14:paraId="7C172420" w14:textId="09226FC0" w:rsidR="00AA714B" w:rsidRPr="00AA714B" w:rsidRDefault="00AA714B" w:rsidP="00F53586">
      <w:pPr>
        <w:rPr>
          <w:rFonts w:asciiTheme="minorHAnsi" w:hAnsiTheme="minorHAnsi" w:cstheme="minorHAnsi"/>
          <w:sz w:val="22"/>
        </w:rPr>
      </w:pPr>
      <w:r>
        <w:rPr>
          <w:rFonts w:asciiTheme="minorHAnsi" w:hAnsiTheme="minorHAnsi" w:cstheme="minorHAnsi"/>
          <w:sz w:val="22"/>
        </w:rPr>
        <w:t xml:space="preserve">Based on the observations, we make </w:t>
      </w:r>
      <w:r w:rsidR="00C42CC7">
        <w:rPr>
          <w:rFonts w:asciiTheme="minorHAnsi" w:hAnsiTheme="minorHAnsi" w:cstheme="minorHAnsi"/>
          <w:sz w:val="22"/>
        </w:rPr>
        <w:t>the following proposals:</w:t>
      </w:r>
    </w:p>
    <w:p w14:paraId="7213AECD" w14:textId="77777777" w:rsidR="007142A5" w:rsidRPr="00E258DF" w:rsidRDefault="007142A5" w:rsidP="007142A5">
      <w:pPr>
        <w:rPr>
          <w:rFonts w:asciiTheme="minorHAnsi" w:hAnsiTheme="minorHAnsi" w:cstheme="minorHAnsi"/>
          <w:color w:val="1F497D" w:themeColor="text2"/>
          <w:sz w:val="22"/>
        </w:rPr>
      </w:pPr>
      <w:r w:rsidRPr="00E258DF">
        <w:rPr>
          <w:rFonts w:asciiTheme="minorHAnsi" w:hAnsiTheme="minorHAnsi" w:cstheme="minorHAnsi"/>
          <w:b/>
          <w:color w:val="1F497D" w:themeColor="text2"/>
          <w:sz w:val="22"/>
        </w:rPr>
        <w:t>Proposal 1:</w:t>
      </w:r>
      <w:r w:rsidRPr="00E258DF">
        <w:rPr>
          <w:rFonts w:asciiTheme="minorHAnsi" w:hAnsiTheme="minorHAnsi" w:cstheme="minorHAnsi"/>
          <w:color w:val="1F497D" w:themeColor="text2"/>
          <w:sz w:val="22"/>
        </w:rPr>
        <w:t xml:space="preserve"> The time since last transmission of resources for beam reporting/measurements by which a target TCI state is considered known shall depend on whether or not the TCI state is in the active TCI state list for PDSCH.</w:t>
      </w:r>
    </w:p>
    <w:p w14:paraId="6A6CFC30" w14:textId="613CA049" w:rsidR="007142A5" w:rsidRPr="007142A5" w:rsidRDefault="007142A5" w:rsidP="007142A5">
      <w:pPr>
        <w:ind w:left="1134" w:hanging="1134"/>
        <w:rPr>
          <w:rFonts w:asciiTheme="minorHAnsi" w:hAnsiTheme="minorHAnsi" w:cstheme="minorHAnsi"/>
          <w:color w:val="365F91" w:themeColor="accent1" w:themeShade="BF"/>
          <w:sz w:val="22"/>
        </w:rPr>
      </w:pPr>
      <w:r w:rsidRPr="00DF5FA9">
        <w:rPr>
          <w:rFonts w:asciiTheme="minorHAnsi" w:hAnsiTheme="minorHAnsi" w:cstheme="minorHAnsi"/>
          <w:b/>
          <w:color w:val="1F497D" w:themeColor="text2"/>
          <w:sz w:val="22"/>
        </w:rPr>
        <w:lastRenderedPageBreak/>
        <w:t>Proposal 2:</w:t>
      </w:r>
      <w:r>
        <w:rPr>
          <w:rFonts w:asciiTheme="minorHAnsi" w:hAnsiTheme="minorHAnsi" w:cstheme="minorHAnsi"/>
          <w:color w:val="1F497D" w:themeColor="text2"/>
          <w:sz w:val="22"/>
        </w:rPr>
        <w:t xml:space="preserve"> Value of X is chosen as follows: </w:t>
      </w:r>
      <w:r>
        <w:rPr>
          <w:rFonts w:asciiTheme="minorHAnsi" w:hAnsiTheme="minorHAnsi" w:cstheme="minorHAnsi"/>
          <w:color w:val="1F497D" w:themeColor="text2"/>
          <w:sz w:val="22"/>
        </w:rPr>
        <w:br/>
        <w:t>- For a TCI state in the active TCI state list for PDSCH: X=[160]ms</w:t>
      </w:r>
      <w:r>
        <w:rPr>
          <w:rFonts w:asciiTheme="minorHAnsi" w:hAnsiTheme="minorHAnsi" w:cstheme="minorHAnsi"/>
          <w:color w:val="1F497D" w:themeColor="text2"/>
          <w:sz w:val="22"/>
        </w:rPr>
        <w:br/>
        <w:t>- For a TCI state not in the active TCI state list for PDSCH, X=[4]s for power class 1, and X=[3]s for power class 2/3/4.</w:t>
      </w:r>
    </w:p>
    <w:p w14:paraId="6120C752" w14:textId="0CAD062D" w:rsidR="00301AEB" w:rsidRPr="00301AEB" w:rsidRDefault="00301AEB" w:rsidP="000B21F0">
      <w:pPr>
        <w:rPr>
          <w:rFonts w:asciiTheme="minorHAnsi" w:hAnsiTheme="minorHAnsi" w:cstheme="minorHAnsi"/>
          <w:sz w:val="22"/>
          <w:lang w:val="en-CA"/>
        </w:rPr>
      </w:pPr>
      <w:r>
        <w:rPr>
          <w:rFonts w:asciiTheme="minorHAnsi" w:hAnsiTheme="minorHAnsi" w:cstheme="minorHAnsi"/>
          <w:sz w:val="22"/>
          <w:lang w:val="en-CA"/>
        </w:rPr>
        <w:t>A Draft CR that introduces the proposal</w:t>
      </w:r>
      <w:r w:rsidR="00CF768B">
        <w:rPr>
          <w:rFonts w:asciiTheme="minorHAnsi" w:hAnsiTheme="minorHAnsi" w:cstheme="minorHAnsi"/>
          <w:sz w:val="22"/>
          <w:lang w:val="en-CA"/>
        </w:rPr>
        <w:t>s</w:t>
      </w:r>
      <w:r>
        <w:rPr>
          <w:rFonts w:asciiTheme="minorHAnsi" w:hAnsiTheme="minorHAnsi" w:cstheme="minorHAnsi"/>
          <w:sz w:val="22"/>
          <w:lang w:val="en-CA"/>
        </w:rPr>
        <w:t xml:space="preserve"> is provided in</w:t>
      </w:r>
      <w:r w:rsidR="00F53586">
        <w:rPr>
          <w:rFonts w:asciiTheme="minorHAnsi" w:hAnsiTheme="minorHAnsi" w:cstheme="minorHAnsi"/>
          <w:sz w:val="22"/>
          <w:lang w:val="en-CA"/>
        </w:rPr>
        <w:t xml:space="preserve"> </w:t>
      </w:r>
      <w:r w:rsidR="00F53586">
        <w:rPr>
          <w:rFonts w:asciiTheme="minorHAnsi" w:hAnsiTheme="minorHAnsi" w:cstheme="minorHAnsi"/>
          <w:sz w:val="22"/>
          <w:lang w:val="en-CA"/>
        </w:rPr>
        <w:fldChar w:fldCharType="begin"/>
      </w:r>
      <w:r w:rsidR="00F53586">
        <w:rPr>
          <w:rFonts w:asciiTheme="minorHAnsi" w:hAnsiTheme="minorHAnsi" w:cstheme="minorHAnsi"/>
          <w:sz w:val="22"/>
          <w:lang w:val="en-CA"/>
        </w:rPr>
        <w:instrText xml:space="preserve"> REF _Ref11852816 \r \h </w:instrText>
      </w:r>
      <w:r w:rsidR="00F53586">
        <w:rPr>
          <w:rFonts w:asciiTheme="minorHAnsi" w:hAnsiTheme="minorHAnsi" w:cstheme="minorHAnsi"/>
          <w:sz w:val="22"/>
          <w:lang w:val="en-CA"/>
        </w:rPr>
      </w:r>
      <w:r w:rsidR="00F53586">
        <w:rPr>
          <w:rFonts w:asciiTheme="minorHAnsi" w:hAnsiTheme="minorHAnsi" w:cstheme="minorHAnsi"/>
          <w:sz w:val="22"/>
          <w:lang w:val="en-CA"/>
        </w:rPr>
        <w:fldChar w:fldCharType="separate"/>
      </w:r>
      <w:r w:rsidR="00F53586">
        <w:rPr>
          <w:rFonts w:asciiTheme="minorHAnsi" w:hAnsiTheme="minorHAnsi" w:cstheme="minorHAnsi"/>
          <w:sz w:val="22"/>
          <w:lang w:val="en-CA"/>
        </w:rPr>
        <w:t>[1]</w:t>
      </w:r>
      <w:r w:rsidR="00F53586">
        <w:rPr>
          <w:rFonts w:asciiTheme="minorHAnsi" w:hAnsiTheme="minorHAnsi" w:cstheme="minorHAnsi"/>
          <w:sz w:val="22"/>
          <w:lang w:val="en-CA"/>
        </w:rPr>
        <w:fldChar w:fldCharType="end"/>
      </w:r>
      <w:r>
        <w:rPr>
          <w:rFonts w:asciiTheme="minorHAnsi" w:hAnsiTheme="minorHAnsi" w:cstheme="minorHAnsi"/>
          <w:sz w:val="22"/>
          <w:lang w:val="en-CA"/>
        </w:rPr>
        <w:t>.</w:t>
      </w:r>
    </w:p>
    <w:p w14:paraId="4B01FEC7" w14:textId="3D3B55F9" w:rsidR="00F53586" w:rsidRPr="00F53586" w:rsidRDefault="00D80957" w:rsidP="00F53586">
      <w:pPr>
        <w:pStyle w:val="Heading1"/>
        <w:pBdr>
          <w:top w:val="single" w:sz="12" w:space="2" w:color="auto"/>
        </w:pBdr>
        <w:rPr>
          <w:sz w:val="32"/>
          <w:lang w:val="en-CA"/>
        </w:rPr>
      </w:pPr>
      <w:r w:rsidRPr="00457F73">
        <w:rPr>
          <w:sz w:val="32"/>
          <w:lang w:val="en-CA"/>
        </w:rPr>
        <w:t>References</w:t>
      </w:r>
      <w:bookmarkStart w:id="3" w:name="_Ref5038995"/>
      <w:bookmarkEnd w:id="1"/>
      <w:bookmarkEnd w:id="2"/>
    </w:p>
    <w:p w14:paraId="2970F52C" w14:textId="700E0E1D" w:rsidR="00B64DB2" w:rsidRDefault="00D110B8" w:rsidP="001A0EE8">
      <w:pPr>
        <w:numPr>
          <w:ilvl w:val="0"/>
          <w:numId w:val="9"/>
        </w:numPr>
        <w:tabs>
          <w:tab w:val="left" w:pos="851"/>
        </w:tabs>
        <w:rPr>
          <w:rFonts w:ascii="Arial" w:hAnsi="Arial" w:cs="Arial"/>
          <w:sz w:val="22"/>
          <w:szCs w:val="22"/>
          <w:lang w:val="en-CA"/>
        </w:rPr>
      </w:pPr>
      <w:bookmarkStart w:id="4" w:name="_Ref11852816"/>
      <w:r w:rsidRPr="00F53586">
        <w:rPr>
          <w:rFonts w:ascii="Arial" w:hAnsi="Arial" w:cs="Arial"/>
          <w:sz w:val="22"/>
          <w:szCs w:val="22"/>
          <w:lang w:val="en-CA"/>
        </w:rPr>
        <w:t>R4-190</w:t>
      </w:r>
      <w:r w:rsidR="0070455F">
        <w:rPr>
          <w:rFonts w:ascii="Arial" w:hAnsi="Arial" w:cs="Arial"/>
          <w:sz w:val="22"/>
          <w:szCs w:val="22"/>
          <w:lang w:val="en-CA"/>
        </w:rPr>
        <w:t>9605</w:t>
      </w:r>
      <w:r w:rsidRPr="00F53586">
        <w:rPr>
          <w:rFonts w:ascii="Arial" w:hAnsi="Arial" w:cs="Arial"/>
          <w:sz w:val="22"/>
          <w:szCs w:val="22"/>
          <w:lang w:val="en-CA"/>
        </w:rPr>
        <w:t xml:space="preserve"> “</w:t>
      </w:r>
      <w:r w:rsidR="00A61758">
        <w:rPr>
          <w:rFonts w:ascii="Arial" w:hAnsi="Arial" w:cs="Arial"/>
          <w:sz w:val="22"/>
          <w:szCs w:val="22"/>
          <w:lang w:val="en-CA"/>
        </w:rPr>
        <w:t>CR 38.133</w:t>
      </w:r>
      <w:r w:rsidR="00F655D0">
        <w:rPr>
          <w:rFonts w:ascii="Arial" w:hAnsi="Arial" w:cs="Arial"/>
          <w:sz w:val="22"/>
          <w:szCs w:val="22"/>
          <w:lang w:val="en-CA"/>
        </w:rPr>
        <w:t xml:space="preserve"> (8.10</w:t>
      </w:r>
      <w:r w:rsidR="005743E7">
        <w:rPr>
          <w:rFonts w:ascii="Arial" w:hAnsi="Arial" w:cs="Arial"/>
          <w:sz w:val="22"/>
          <w:szCs w:val="22"/>
          <w:lang w:val="en-CA"/>
        </w:rPr>
        <w:t>.2</w:t>
      </w:r>
      <w:r w:rsidR="00F655D0">
        <w:rPr>
          <w:rFonts w:ascii="Arial" w:hAnsi="Arial" w:cs="Arial"/>
          <w:sz w:val="22"/>
          <w:szCs w:val="22"/>
          <w:lang w:val="en-CA"/>
        </w:rPr>
        <w:t>) TCI state known condition</w:t>
      </w:r>
      <w:r w:rsidR="00F53586" w:rsidRPr="00F53586">
        <w:rPr>
          <w:rFonts w:ascii="Arial" w:hAnsi="Arial" w:cs="Arial"/>
          <w:sz w:val="22"/>
          <w:szCs w:val="22"/>
          <w:lang w:val="en-CA"/>
        </w:rPr>
        <w:t>”</w:t>
      </w:r>
      <w:r w:rsidRPr="00F53586">
        <w:rPr>
          <w:rFonts w:ascii="Arial" w:hAnsi="Arial" w:cs="Arial"/>
          <w:sz w:val="22"/>
          <w:szCs w:val="22"/>
          <w:lang w:val="en-CA"/>
        </w:rPr>
        <w:t>, Ericsson</w:t>
      </w:r>
      <w:bookmarkEnd w:id="3"/>
      <w:bookmarkEnd w:id="4"/>
    </w:p>
    <w:p w14:paraId="34299095" w14:textId="07E2FDEA" w:rsidR="00426366" w:rsidRPr="00F53586" w:rsidRDefault="00426366" w:rsidP="001A0EE8">
      <w:pPr>
        <w:numPr>
          <w:ilvl w:val="0"/>
          <w:numId w:val="9"/>
        </w:numPr>
        <w:tabs>
          <w:tab w:val="left" w:pos="851"/>
        </w:tabs>
        <w:rPr>
          <w:rFonts w:ascii="Arial" w:hAnsi="Arial" w:cs="Arial"/>
          <w:sz w:val="22"/>
          <w:szCs w:val="22"/>
          <w:lang w:val="en-CA"/>
        </w:rPr>
      </w:pPr>
      <w:bookmarkStart w:id="5" w:name="_Ref15644284"/>
      <w:r>
        <w:rPr>
          <w:rFonts w:ascii="Arial" w:hAnsi="Arial" w:cs="Arial"/>
          <w:sz w:val="22"/>
          <w:szCs w:val="22"/>
          <w:lang w:val="en-CA"/>
        </w:rPr>
        <w:t>3GPP TS 38.133</w:t>
      </w:r>
      <w:bookmarkStart w:id="6" w:name="_GoBack"/>
      <w:bookmarkEnd w:id="5"/>
      <w:bookmarkEnd w:id="6"/>
    </w:p>
    <w:sectPr w:rsidR="00426366" w:rsidRPr="00F53586"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39E4A" w14:textId="77777777" w:rsidR="00513B8F" w:rsidRDefault="00513B8F">
      <w:r>
        <w:separator/>
      </w:r>
    </w:p>
  </w:endnote>
  <w:endnote w:type="continuationSeparator" w:id="0">
    <w:p w14:paraId="53820F4A" w14:textId="77777777" w:rsidR="00513B8F" w:rsidRDefault="0051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D0760" w14:textId="77777777" w:rsidR="00513B8F" w:rsidRDefault="00513B8F">
      <w:r>
        <w:separator/>
      </w:r>
    </w:p>
  </w:footnote>
  <w:footnote w:type="continuationSeparator" w:id="0">
    <w:p w14:paraId="716499A6" w14:textId="77777777" w:rsidR="00513B8F" w:rsidRDefault="0051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3"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0"/>
  </w:num>
  <w:num w:numId="4">
    <w:abstractNumId w:val="4"/>
  </w:num>
  <w:num w:numId="5">
    <w:abstractNumId w:val="6"/>
  </w:num>
  <w:num w:numId="6">
    <w:abstractNumId w:val="2"/>
  </w:num>
  <w:num w:numId="7">
    <w:abstractNumId w:val="1"/>
  </w:num>
  <w:num w:numId="8">
    <w:abstractNumId w:val="12"/>
  </w:num>
  <w:num w:numId="9">
    <w:abstractNumId w:val="7"/>
  </w:num>
  <w:num w:numId="10">
    <w:abstractNumId w:val="3"/>
  </w:num>
  <w:num w:numId="11">
    <w:abstractNumId w:val="0"/>
  </w:num>
  <w:num w:numId="12">
    <w:abstractNumId w:val="13"/>
  </w:num>
  <w:num w:numId="13">
    <w:abstractNumId w:val="5"/>
  </w:num>
  <w:num w:numId="1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7D2"/>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6F9"/>
    <w:rsid w:val="000D58A2"/>
    <w:rsid w:val="000D5A72"/>
    <w:rsid w:val="000D6430"/>
    <w:rsid w:val="000D64E3"/>
    <w:rsid w:val="000D6658"/>
    <w:rsid w:val="000D75B1"/>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46C3"/>
    <w:rsid w:val="001352B7"/>
    <w:rsid w:val="00135633"/>
    <w:rsid w:val="00136C52"/>
    <w:rsid w:val="00136E63"/>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1929"/>
    <w:rsid w:val="001619F0"/>
    <w:rsid w:val="00161AD5"/>
    <w:rsid w:val="001634F9"/>
    <w:rsid w:val="00163CB6"/>
    <w:rsid w:val="0016429C"/>
    <w:rsid w:val="0016528A"/>
    <w:rsid w:val="00165A6F"/>
    <w:rsid w:val="001665A4"/>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5F8"/>
    <w:rsid w:val="00185A85"/>
    <w:rsid w:val="00185AFD"/>
    <w:rsid w:val="00186A2B"/>
    <w:rsid w:val="001878E9"/>
    <w:rsid w:val="00187908"/>
    <w:rsid w:val="00187F68"/>
    <w:rsid w:val="00190668"/>
    <w:rsid w:val="00190CFB"/>
    <w:rsid w:val="00190F04"/>
    <w:rsid w:val="0019164E"/>
    <w:rsid w:val="001920BE"/>
    <w:rsid w:val="0019238D"/>
    <w:rsid w:val="00192905"/>
    <w:rsid w:val="00193912"/>
    <w:rsid w:val="001940EE"/>
    <w:rsid w:val="0019515D"/>
    <w:rsid w:val="001951B5"/>
    <w:rsid w:val="00195384"/>
    <w:rsid w:val="00195461"/>
    <w:rsid w:val="001956AF"/>
    <w:rsid w:val="0019661A"/>
    <w:rsid w:val="00196F92"/>
    <w:rsid w:val="0019740D"/>
    <w:rsid w:val="001A07E5"/>
    <w:rsid w:val="001A129D"/>
    <w:rsid w:val="001A1CB8"/>
    <w:rsid w:val="001A21FD"/>
    <w:rsid w:val="001A409E"/>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216"/>
    <w:rsid w:val="002062D4"/>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47F"/>
    <w:rsid w:val="00225680"/>
    <w:rsid w:val="00226602"/>
    <w:rsid w:val="00226610"/>
    <w:rsid w:val="00226DDB"/>
    <w:rsid w:val="00227498"/>
    <w:rsid w:val="0023025C"/>
    <w:rsid w:val="0023113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2C1F"/>
    <w:rsid w:val="00273810"/>
    <w:rsid w:val="00273A18"/>
    <w:rsid w:val="002740B6"/>
    <w:rsid w:val="00274B72"/>
    <w:rsid w:val="00275D12"/>
    <w:rsid w:val="002762F3"/>
    <w:rsid w:val="00276549"/>
    <w:rsid w:val="00276778"/>
    <w:rsid w:val="0027720D"/>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6A3"/>
    <w:rsid w:val="00290DDB"/>
    <w:rsid w:val="0029198C"/>
    <w:rsid w:val="00291A2A"/>
    <w:rsid w:val="00291B7F"/>
    <w:rsid w:val="00293112"/>
    <w:rsid w:val="00293168"/>
    <w:rsid w:val="002932F1"/>
    <w:rsid w:val="00293AEF"/>
    <w:rsid w:val="00294026"/>
    <w:rsid w:val="0029542B"/>
    <w:rsid w:val="00295759"/>
    <w:rsid w:val="00295FF1"/>
    <w:rsid w:val="00296723"/>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9B9"/>
    <w:rsid w:val="002D1C25"/>
    <w:rsid w:val="002D235D"/>
    <w:rsid w:val="002D2989"/>
    <w:rsid w:val="002D2B7D"/>
    <w:rsid w:val="002D32F8"/>
    <w:rsid w:val="002D385F"/>
    <w:rsid w:val="002D3907"/>
    <w:rsid w:val="002D42DA"/>
    <w:rsid w:val="002D470F"/>
    <w:rsid w:val="002D4823"/>
    <w:rsid w:val="002D50FC"/>
    <w:rsid w:val="002D529E"/>
    <w:rsid w:val="002D5CA1"/>
    <w:rsid w:val="002D5CCC"/>
    <w:rsid w:val="002D651D"/>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301AEB"/>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4F1A"/>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5F64"/>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205"/>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1197"/>
    <w:rsid w:val="003E182B"/>
    <w:rsid w:val="003E1A42"/>
    <w:rsid w:val="003E1C57"/>
    <w:rsid w:val="003E2447"/>
    <w:rsid w:val="003E2CC0"/>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294F"/>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366"/>
    <w:rsid w:val="0042647F"/>
    <w:rsid w:val="004264F2"/>
    <w:rsid w:val="00426734"/>
    <w:rsid w:val="00426C90"/>
    <w:rsid w:val="00427BDE"/>
    <w:rsid w:val="0043120D"/>
    <w:rsid w:val="0043155C"/>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6E3A"/>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56E8"/>
    <w:rsid w:val="00476D19"/>
    <w:rsid w:val="0047792D"/>
    <w:rsid w:val="00477B51"/>
    <w:rsid w:val="0048056F"/>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3B8F"/>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CFA"/>
    <w:rsid w:val="00554CD2"/>
    <w:rsid w:val="005551F5"/>
    <w:rsid w:val="005552AB"/>
    <w:rsid w:val="005553C0"/>
    <w:rsid w:val="00555739"/>
    <w:rsid w:val="00555989"/>
    <w:rsid w:val="00556260"/>
    <w:rsid w:val="005562A7"/>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F23"/>
    <w:rsid w:val="00572C79"/>
    <w:rsid w:val="00572D83"/>
    <w:rsid w:val="005731C2"/>
    <w:rsid w:val="005737A1"/>
    <w:rsid w:val="00573896"/>
    <w:rsid w:val="005738E4"/>
    <w:rsid w:val="005739CB"/>
    <w:rsid w:val="005739DC"/>
    <w:rsid w:val="00574067"/>
    <w:rsid w:val="0057406A"/>
    <w:rsid w:val="005743E7"/>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2D7"/>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551"/>
    <w:rsid w:val="005C783C"/>
    <w:rsid w:val="005C7ADE"/>
    <w:rsid w:val="005D0578"/>
    <w:rsid w:val="005D1C1E"/>
    <w:rsid w:val="005D1FEA"/>
    <w:rsid w:val="005D23E4"/>
    <w:rsid w:val="005D2805"/>
    <w:rsid w:val="005D2946"/>
    <w:rsid w:val="005D3F2D"/>
    <w:rsid w:val="005D42AC"/>
    <w:rsid w:val="005D46B5"/>
    <w:rsid w:val="005D4FCC"/>
    <w:rsid w:val="005D608C"/>
    <w:rsid w:val="005D649C"/>
    <w:rsid w:val="005D6EED"/>
    <w:rsid w:val="005D75F9"/>
    <w:rsid w:val="005D771D"/>
    <w:rsid w:val="005E1CEA"/>
    <w:rsid w:val="005E1E23"/>
    <w:rsid w:val="005E25A4"/>
    <w:rsid w:val="005E2960"/>
    <w:rsid w:val="005E2C44"/>
    <w:rsid w:val="005E30D3"/>
    <w:rsid w:val="005E33A3"/>
    <w:rsid w:val="005E3958"/>
    <w:rsid w:val="005E3E81"/>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8BF"/>
    <w:rsid w:val="006C6ABD"/>
    <w:rsid w:val="006C796C"/>
    <w:rsid w:val="006C7B68"/>
    <w:rsid w:val="006D00B2"/>
    <w:rsid w:val="006D12E6"/>
    <w:rsid w:val="006D2BA5"/>
    <w:rsid w:val="006D2D1E"/>
    <w:rsid w:val="006D3226"/>
    <w:rsid w:val="006D35DA"/>
    <w:rsid w:val="006D3740"/>
    <w:rsid w:val="006D384A"/>
    <w:rsid w:val="006D40A3"/>
    <w:rsid w:val="006D4D31"/>
    <w:rsid w:val="006D5636"/>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4121"/>
    <w:rsid w:val="006F6047"/>
    <w:rsid w:val="006F618C"/>
    <w:rsid w:val="006F62AA"/>
    <w:rsid w:val="006F6CEC"/>
    <w:rsid w:val="007006CE"/>
    <w:rsid w:val="007018A8"/>
    <w:rsid w:val="00701D34"/>
    <w:rsid w:val="007027A3"/>
    <w:rsid w:val="00702FAD"/>
    <w:rsid w:val="0070316E"/>
    <w:rsid w:val="00703BBD"/>
    <w:rsid w:val="00703E64"/>
    <w:rsid w:val="0070455F"/>
    <w:rsid w:val="0070458B"/>
    <w:rsid w:val="0070462E"/>
    <w:rsid w:val="007047BA"/>
    <w:rsid w:val="0070485F"/>
    <w:rsid w:val="007048C6"/>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2A5"/>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49D"/>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0CE4"/>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684"/>
    <w:rsid w:val="00835998"/>
    <w:rsid w:val="008359BD"/>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64C2"/>
    <w:rsid w:val="00856821"/>
    <w:rsid w:val="00856A4B"/>
    <w:rsid w:val="00857899"/>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97A77"/>
    <w:rsid w:val="008A0943"/>
    <w:rsid w:val="008A122D"/>
    <w:rsid w:val="008A1F4A"/>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2E5"/>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AEF"/>
    <w:rsid w:val="00913C50"/>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60F"/>
    <w:rsid w:val="0096266E"/>
    <w:rsid w:val="009629BB"/>
    <w:rsid w:val="00962B58"/>
    <w:rsid w:val="00962FFF"/>
    <w:rsid w:val="00963062"/>
    <w:rsid w:val="00963618"/>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99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3DDD"/>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5F75"/>
    <w:rsid w:val="00A564CA"/>
    <w:rsid w:val="00A566EF"/>
    <w:rsid w:val="00A569AB"/>
    <w:rsid w:val="00A569FF"/>
    <w:rsid w:val="00A56E7F"/>
    <w:rsid w:val="00A614F5"/>
    <w:rsid w:val="00A61758"/>
    <w:rsid w:val="00A62154"/>
    <w:rsid w:val="00A64E3D"/>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5E"/>
    <w:rsid w:val="00AA2F81"/>
    <w:rsid w:val="00AA338D"/>
    <w:rsid w:val="00AA3B17"/>
    <w:rsid w:val="00AA43E0"/>
    <w:rsid w:val="00AA4636"/>
    <w:rsid w:val="00AA4B26"/>
    <w:rsid w:val="00AA4C43"/>
    <w:rsid w:val="00AA51C5"/>
    <w:rsid w:val="00AA522F"/>
    <w:rsid w:val="00AA53AD"/>
    <w:rsid w:val="00AA6238"/>
    <w:rsid w:val="00AA62F3"/>
    <w:rsid w:val="00AA714B"/>
    <w:rsid w:val="00AA7522"/>
    <w:rsid w:val="00AB0356"/>
    <w:rsid w:val="00AB06C9"/>
    <w:rsid w:val="00AB09B4"/>
    <w:rsid w:val="00AB0AB1"/>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AB9"/>
    <w:rsid w:val="00AC0F76"/>
    <w:rsid w:val="00AC181B"/>
    <w:rsid w:val="00AC197B"/>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345F"/>
    <w:rsid w:val="00AD50F7"/>
    <w:rsid w:val="00AD5DE4"/>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E52"/>
    <w:rsid w:val="00B34FE3"/>
    <w:rsid w:val="00B35142"/>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28EA"/>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9D8"/>
    <w:rsid w:val="00B8384C"/>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2E56"/>
    <w:rsid w:val="00B930FB"/>
    <w:rsid w:val="00B93523"/>
    <w:rsid w:val="00B93A9F"/>
    <w:rsid w:val="00B940B4"/>
    <w:rsid w:val="00B9426B"/>
    <w:rsid w:val="00B95780"/>
    <w:rsid w:val="00B95D5F"/>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36B"/>
    <w:rsid w:val="00BB16ED"/>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7199"/>
    <w:rsid w:val="00BD7E42"/>
    <w:rsid w:val="00BE0022"/>
    <w:rsid w:val="00BE1EFA"/>
    <w:rsid w:val="00BE2379"/>
    <w:rsid w:val="00BE318E"/>
    <w:rsid w:val="00BE3C6B"/>
    <w:rsid w:val="00BE3E27"/>
    <w:rsid w:val="00BE45EA"/>
    <w:rsid w:val="00BE491E"/>
    <w:rsid w:val="00BE55C7"/>
    <w:rsid w:val="00BE564A"/>
    <w:rsid w:val="00BE5F8B"/>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2CC7"/>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F4C"/>
    <w:rsid w:val="00CC0025"/>
    <w:rsid w:val="00CC0244"/>
    <w:rsid w:val="00CC026B"/>
    <w:rsid w:val="00CC0411"/>
    <w:rsid w:val="00CC2250"/>
    <w:rsid w:val="00CC296A"/>
    <w:rsid w:val="00CC2AFD"/>
    <w:rsid w:val="00CC2CF3"/>
    <w:rsid w:val="00CC2E03"/>
    <w:rsid w:val="00CC3660"/>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6D4"/>
    <w:rsid w:val="00CD19F7"/>
    <w:rsid w:val="00CD1B91"/>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CD5"/>
    <w:rsid w:val="00D3243D"/>
    <w:rsid w:val="00D326FC"/>
    <w:rsid w:val="00D3311E"/>
    <w:rsid w:val="00D33180"/>
    <w:rsid w:val="00D340FE"/>
    <w:rsid w:val="00D343F9"/>
    <w:rsid w:val="00D34717"/>
    <w:rsid w:val="00D34A9D"/>
    <w:rsid w:val="00D34B1E"/>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69ED"/>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67B"/>
    <w:rsid w:val="00DC57FC"/>
    <w:rsid w:val="00DC6911"/>
    <w:rsid w:val="00DC695D"/>
    <w:rsid w:val="00DC6C0E"/>
    <w:rsid w:val="00DC6D54"/>
    <w:rsid w:val="00DC73C6"/>
    <w:rsid w:val="00DD02FE"/>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4235"/>
    <w:rsid w:val="00DF5174"/>
    <w:rsid w:val="00DF53D1"/>
    <w:rsid w:val="00DF57EE"/>
    <w:rsid w:val="00DF5BDD"/>
    <w:rsid w:val="00DF5FA9"/>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8DF"/>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4B7"/>
    <w:rsid w:val="00E434BE"/>
    <w:rsid w:val="00E43FF5"/>
    <w:rsid w:val="00E44FFE"/>
    <w:rsid w:val="00E4568A"/>
    <w:rsid w:val="00E457DF"/>
    <w:rsid w:val="00E45E26"/>
    <w:rsid w:val="00E479A9"/>
    <w:rsid w:val="00E47FBE"/>
    <w:rsid w:val="00E5018C"/>
    <w:rsid w:val="00E50B70"/>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43"/>
    <w:rsid w:val="00ED3FB6"/>
    <w:rsid w:val="00ED46C5"/>
    <w:rsid w:val="00ED620B"/>
    <w:rsid w:val="00ED71AF"/>
    <w:rsid w:val="00EE015C"/>
    <w:rsid w:val="00EE0841"/>
    <w:rsid w:val="00EE0EA9"/>
    <w:rsid w:val="00EE15F2"/>
    <w:rsid w:val="00EE1ABD"/>
    <w:rsid w:val="00EE1DC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1DC"/>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6C5D"/>
    <w:rsid w:val="00F37677"/>
    <w:rsid w:val="00F37A5A"/>
    <w:rsid w:val="00F37ED4"/>
    <w:rsid w:val="00F41644"/>
    <w:rsid w:val="00F4167D"/>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586"/>
    <w:rsid w:val="00F5395E"/>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5D0"/>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181C"/>
    <w:rsid w:val="00FC22F7"/>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0F604-AC61-490A-8C1E-8B3707AB7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1018</Words>
  <Characters>5401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2019-04-23T12:12:00Z</dcterms:created>
  <dcterms:modified xsi:type="dcterms:W3CDTF">2019-08-16T16:14:00Z</dcterms:modified>
</cp:coreProperties>
</file>